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F956F" w14:textId="77777777" w:rsidR="006666B1" w:rsidRDefault="006666B1">
      <w:pPr>
        <w:spacing w:before="120" w:after="240"/>
        <w:jc w:val="center"/>
        <w:rPr>
          <w:color w:val="000000"/>
        </w:rPr>
      </w:pPr>
    </w:p>
    <w:p w14:paraId="2E316F1F" w14:textId="3980BA93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MATRIZ DE RISCOS</w:t>
      </w:r>
    </w:p>
    <w:p w14:paraId="4E277E87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81F94FA" w14:textId="44CAA5BC" w:rsid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Objeto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BB08F2">
        <w:rPr>
          <w:rFonts w:ascii="Arial" w:eastAsia="Times New Roman" w:hAnsi="Arial" w:cs="Arial"/>
          <w:sz w:val="24"/>
          <w:szCs w:val="24"/>
          <w:lang w:eastAsia="pt-BR"/>
        </w:rPr>
        <w:t>A</w:t>
      </w:r>
      <w:r w:rsidR="00BB08F2" w:rsidRPr="00BB08F2">
        <w:rPr>
          <w:rFonts w:ascii="Arial" w:eastAsia="Times New Roman" w:hAnsi="Arial" w:cs="Arial"/>
          <w:sz w:val="24"/>
          <w:szCs w:val="24"/>
          <w:lang w:eastAsia="pt-BR"/>
        </w:rPr>
        <w:t>quisição de água mineral e garrafões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Modalidade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BB08F2">
        <w:rPr>
          <w:rFonts w:ascii="Arial" w:eastAsia="Times New Roman" w:hAnsi="Arial" w:cs="Arial"/>
          <w:sz w:val="24"/>
          <w:szCs w:val="24"/>
          <w:lang w:eastAsia="pt-BR"/>
        </w:rPr>
        <w:t>Pregão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Vigência contratual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>
        <w:rPr>
          <w:rFonts w:ascii="Arial" w:eastAsia="Times New Roman" w:hAnsi="Arial" w:cs="Arial"/>
          <w:sz w:val="24"/>
          <w:szCs w:val="24"/>
          <w:lang w:eastAsia="pt-BR"/>
        </w:rPr>
        <w:t>12 meses</w:t>
      </w:r>
    </w:p>
    <w:p w14:paraId="5C727E2E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EA2FB8F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1. Conceito Legal</w:t>
      </w:r>
    </w:p>
    <w:p w14:paraId="3D997464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A Matriz de Riscos é o instrumento que define a alocação objetiva dos riscos entre a Administração Pública e o contratado, indicando:</w:t>
      </w:r>
    </w:p>
    <w:p w14:paraId="4312F931" w14:textId="77777777" w:rsidR="002855CD" w:rsidRPr="002855CD" w:rsidRDefault="002855CD" w:rsidP="002855CD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Eventos supervenientes;</w:t>
      </w:r>
    </w:p>
    <w:p w14:paraId="49EEB6F9" w14:textId="77777777" w:rsidR="002855CD" w:rsidRPr="002855CD" w:rsidRDefault="002855CD" w:rsidP="002855CD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Responsável pelo risco;</w:t>
      </w:r>
    </w:p>
    <w:p w14:paraId="65EE570E" w14:textId="77777777" w:rsidR="002855CD" w:rsidRPr="002855CD" w:rsidRDefault="002855CD" w:rsidP="002855CD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Consequências econômico-financeiras;</w:t>
      </w:r>
    </w:p>
    <w:p w14:paraId="038EA3CF" w14:textId="77777777" w:rsidR="002855CD" w:rsidRPr="002855CD" w:rsidRDefault="002855CD" w:rsidP="002855CD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Medidas de mitigação.</w:t>
      </w:r>
    </w:p>
    <w:p w14:paraId="2332CEAE" w14:textId="14045E0E" w:rsidR="00BB3816" w:rsidRPr="002855CD" w:rsidRDefault="002855CD" w:rsidP="00BB3816">
      <w:pPr>
        <w:contextualSpacing/>
        <w:rPr>
          <w:rFonts w:ascii="Arial" w:eastAsia="Arial" w:hAnsi="Arial" w:cs="Arial"/>
          <w:b/>
          <w:bCs/>
          <w:sz w:val="24"/>
          <w:szCs w:val="24"/>
        </w:rPr>
      </w:pPr>
      <w:r w:rsidRPr="002855CD">
        <w:rPr>
          <w:rFonts w:ascii="Arial" w:hAnsi="Arial" w:cs="Arial"/>
          <w:b/>
          <w:bCs/>
          <w:sz w:val="24"/>
          <w:szCs w:val="24"/>
        </w:rPr>
        <w:t>2. Matriz de Alocação de Riscos</w:t>
      </w:r>
    </w:p>
    <w:p w14:paraId="20605609" w14:textId="77777777" w:rsidR="002855CD" w:rsidRDefault="00BB3816" w:rsidP="008146D0">
      <w:pPr>
        <w:rPr>
          <w:rFonts w:ascii="Arial" w:eastAsia="Arial" w:hAnsi="Arial" w:cs="Arial"/>
          <w:sz w:val="24"/>
          <w:szCs w:val="24"/>
        </w:rPr>
      </w:pPr>
      <w:r w:rsidRPr="441DCC60">
        <w:rPr>
          <w:rFonts w:ascii="Arial" w:eastAsia="Arial" w:hAnsi="Arial" w:cs="Arial"/>
          <w:sz w:val="24"/>
          <w:szCs w:val="24"/>
        </w:rPr>
        <w:t xml:space="preserve"> </w:t>
      </w:r>
    </w:p>
    <w:tbl>
      <w:tblPr>
        <w:tblW w:w="9640" w:type="dxa"/>
        <w:tblCellSpacing w:w="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"/>
        <w:gridCol w:w="2068"/>
        <w:gridCol w:w="2002"/>
        <w:gridCol w:w="1667"/>
        <w:gridCol w:w="1001"/>
        <w:gridCol w:w="734"/>
        <w:gridCol w:w="1428"/>
        <w:gridCol w:w="1616"/>
      </w:tblGrid>
      <w:tr w:rsidR="00BB08F2" w:rsidRPr="00BB08F2" w14:paraId="4A29C47C" w14:textId="77777777" w:rsidTr="00BB08F2">
        <w:trPr>
          <w:tblHeader/>
          <w:tblCellSpacing w:w="15" w:type="dxa"/>
        </w:trPr>
        <w:tc>
          <w:tcPr>
            <w:tcW w:w="278" w:type="dxa"/>
            <w:vAlign w:val="center"/>
            <w:hideMark/>
          </w:tcPr>
          <w:p w14:paraId="225AD610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Nº</w:t>
            </w:r>
          </w:p>
        </w:tc>
        <w:tc>
          <w:tcPr>
            <w:tcW w:w="0" w:type="auto"/>
            <w:vAlign w:val="center"/>
            <w:hideMark/>
          </w:tcPr>
          <w:p w14:paraId="11D2F197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Risco Identificado</w:t>
            </w:r>
          </w:p>
        </w:tc>
        <w:tc>
          <w:tcPr>
            <w:tcW w:w="0" w:type="auto"/>
            <w:vAlign w:val="center"/>
            <w:hideMark/>
          </w:tcPr>
          <w:p w14:paraId="648AF629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Causa Provável</w:t>
            </w:r>
          </w:p>
        </w:tc>
        <w:tc>
          <w:tcPr>
            <w:tcW w:w="0" w:type="auto"/>
            <w:vAlign w:val="center"/>
            <w:hideMark/>
          </w:tcPr>
          <w:p w14:paraId="42126799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0" w:type="auto"/>
            <w:vAlign w:val="center"/>
            <w:hideMark/>
          </w:tcPr>
          <w:p w14:paraId="571D3737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16DC22A2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Nível de Risco</w:t>
            </w:r>
          </w:p>
        </w:tc>
        <w:tc>
          <w:tcPr>
            <w:tcW w:w="0" w:type="auto"/>
            <w:vAlign w:val="center"/>
            <w:hideMark/>
          </w:tcPr>
          <w:p w14:paraId="162958AD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Medidas Preventivas</w:t>
            </w:r>
          </w:p>
        </w:tc>
        <w:tc>
          <w:tcPr>
            <w:tcW w:w="1633" w:type="dxa"/>
            <w:vAlign w:val="center"/>
            <w:hideMark/>
          </w:tcPr>
          <w:p w14:paraId="4B3BA4B0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Plano de Contingência</w:t>
            </w:r>
          </w:p>
        </w:tc>
      </w:tr>
      <w:tr w:rsidR="00BB08F2" w:rsidRPr="00BB08F2" w14:paraId="540BEBE4" w14:textId="77777777" w:rsidTr="00BB08F2">
        <w:trPr>
          <w:tblCellSpacing w:w="15" w:type="dxa"/>
        </w:trPr>
        <w:tc>
          <w:tcPr>
            <w:tcW w:w="278" w:type="dxa"/>
            <w:vAlign w:val="center"/>
            <w:hideMark/>
          </w:tcPr>
          <w:p w14:paraId="3F63AD00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DF0BEAD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Entrega de água fora dos padrões de qualidade</w:t>
            </w:r>
          </w:p>
        </w:tc>
        <w:tc>
          <w:tcPr>
            <w:tcW w:w="0" w:type="auto"/>
            <w:vAlign w:val="center"/>
            <w:hideMark/>
          </w:tcPr>
          <w:p w14:paraId="47CFDF58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Falha no controle sanitário do fornecedor</w:t>
            </w:r>
          </w:p>
        </w:tc>
        <w:tc>
          <w:tcPr>
            <w:tcW w:w="0" w:type="auto"/>
            <w:vAlign w:val="center"/>
            <w:hideMark/>
          </w:tcPr>
          <w:p w14:paraId="0CB80D69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0BE731D7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3F6FBD87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3CC6B544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Exigir laudos atualizados (ANVISA), certificações e inspeções</w:t>
            </w:r>
          </w:p>
        </w:tc>
        <w:tc>
          <w:tcPr>
            <w:tcW w:w="1633" w:type="dxa"/>
            <w:vAlign w:val="center"/>
            <w:hideMark/>
          </w:tcPr>
          <w:p w14:paraId="2E24C7A6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Rejeição do lote e aplicação de sanções contratuais</w:t>
            </w:r>
          </w:p>
        </w:tc>
      </w:tr>
      <w:tr w:rsidR="00BB08F2" w:rsidRPr="00BB08F2" w14:paraId="324D2A97" w14:textId="77777777" w:rsidTr="00BB08F2">
        <w:trPr>
          <w:tblCellSpacing w:w="15" w:type="dxa"/>
        </w:trPr>
        <w:tc>
          <w:tcPr>
            <w:tcW w:w="278" w:type="dxa"/>
            <w:vAlign w:val="center"/>
            <w:hideMark/>
          </w:tcPr>
          <w:p w14:paraId="686579B2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7FA82C6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Atraso na entrega dos produtos</w:t>
            </w:r>
          </w:p>
        </w:tc>
        <w:tc>
          <w:tcPr>
            <w:tcW w:w="0" w:type="auto"/>
            <w:vAlign w:val="center"/>
            <w:hideMark/>
          </w:tcPr>
          <w:p w14:paraId="0077A8FF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Problemas logísticos ou operacionais</w:t>
            </w:r>
          </w:p>
        </w:tc>
        <w:tc>
          <w:tcPr>
            <w:tcW w:w="0" w:type="auto"/>
            <w:vAlign w:val="center"/>
            <w:hideMark/>
          </w:tcPr>
          <w:p w14:paraId="099AE18F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14:paraId="15CBD0CB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4715B04F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6199D81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Definir prazos e penalidades claras no edital</w:t>
            </w:r>
          </w:p>
        </w:tc>
        <w:tc>
          <w:tcPr>
            <w:tcW w:w="1633" w:type="dxa"/>
            <w:vAlign w:val="center"/>
            <w:hideMark/>
          </w:tcPr>
          <w:p w14:paraId="3FBC3515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Contratação de fornecedor remanescente</w:t>
            </w:r>
          </w:p>
        </w:tc>
      </w:tr>
      <w:tr w:rsidR="00BB08F2" w:rsidRPr="00BB08F2" w14:paraId="0C90D474" w14:textId="77777777" w:rsidTr="00BB08F2">
        <w:trPr>
          <w:tblCellSpacing w:w="15" w:type="dxa"/>
        </w:trPr>
        <w:tc>
          <w:tcPr>
            <w:tcW w:w="278" w:type="dxa"/>
            <w:vAlign w:val="center"/>
            <w:hideMark/>
          </w:tcPr>
          <w:p w14:paraId="5567B307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14:paraId="064BFB06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Fornecimento de garrafões danificados ou contaminados</w:t>
            </w:r>
          </w:p>
        </w:tc>
        <w:tc>
          <w:tcPr>
            <w:tcW w:w="0" w:type="auto"/>
            <w:vAlign w:val="center"/>
            <w:hideMark/>
          </w:tcPr>
          <w:p w14:paraId="2BE9C2BD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Má conservação ou reutilização inadequada</w:t>
            </w:r>
          </w:p>
        </w:tc>
        <w:tc>
          <w:tcPr>
            <w:tcW w:w="0" w:type="auto"/>
            <w:vAlign w:val="center"/>
            <w:hideMark/>
          </w:tcPr>
          <w:p w14:paraId="41E090EC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5F24736B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146CA6DE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74A41B5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Exigir padrões de higienização e substituição periódica</w:t>
            </w:r>
          </w:p>
        </w:tc>
        <w:tc>
          <w:tcPr>
            <w:tcW w:w="1633" w:type="dxa"/>
            <w:vAlign w:val="center"/>
            <w:hideMark/>
          </w:tcPr>
          <w:p w14:paraId="66C772ED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Substituição imediata dos itens e multa</w:t>
            </w:r>
          </w:p>
        </w:tc>
      </w:tr>
      <w:tr w:rsidR="00BB08F2" w:rsidRPr="00BB08F2" w14:paraId="2A852889" w14:textId="77777777" w:rsidTr="00BB08F2">
        <w:trPr>
          <w:tblCellSpacing w:w="15" w:type="dxa"/>
        </w:trPr>
        <w:tc>
          <w:tcPr>
            <w:tcW w:w="278" w:type="dxa"/>
            <w:vAlign w:val="center"/>
            <w:hideMark/>
          </w:tcPr>
          <w:p w14:paraId="2B331E43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31CCC0D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Variação de preços durante a execução contratual</w:t>
            </w:r>
          </w:p>
        </w:tc>
        <w:tc>
          <w:tcPr>
            <w:tcW w:w="0" w:type="auto"/>
            <w:vAlign w:val="center"/>
            <w:hideMark/>
          </w:tcPr>
          <w:p w14:paraId="62CCF526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Oscilações de mercado (combustível, insumos)</w:t>
            </w:r>
          </w:p>
        </w:tc>
        <w:tc>
          <w:tcPr>
            <w:tcW w:w="0" w:type="auto"/>
            <w:vAlign w:val="center"/>
            <w:hideMark/>
          </w:tcPr>
          <w:p w14:paraId="6BE59841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620EF391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72A2E88D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6EC0521F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Prever cláusula de reajuste e/ou reequilíbrio econômico-financeiro</w:t>
            </w:r>
          </w:p>
        </w:tc>
        <w:tc>
          <w:tcPr>
            <w:tcW w:w="1633" w:type="dxa"/>
            <w:vAlign w:val="center"/>
            <w:hideMark/>
          </w:tcPr>
          <w:p w14:paraId="631B547D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Análise de reequilíbrio conforme legislação</w:t>
            </w:r>
          </w:p>
        </w:tc>
      </w:tr>
      <w:tr w:rsidR="00BB08F2" w:rsidRPr="00BB08F2" w14:paraId="57993A50" w14:textId="77777777" w:rsidTr="00BB08F2">
        <w:trPr>
          <w:tblCellSpacing w:w="15" w:type="dxa"/>
        </w:trPr>
        <w:tc>
          <w:tcPr>
            <w:tcW w:w="278" w:type="dxa"/>
            <w:vAlign w:val="center"/>
            <w:hideMark/>
          </w:tcPr>
          <w:p w14:paraId="5170E38A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2D601D1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Desabastecimento temporário</w:t>
            </w:r>
          </w:p>
        </w:tc>
        <w:tc>
          <w:tcPr>
            <w:tcW w:w="0" w:type="auto"/>
            <w:vAlign w:val="center"/>
            <w:hideMark/>
          </w:tcPr>
          <w:p w14:paraId="1710A338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Problemas na produção ou distribuição</w:t>
            </w:r>
          </w:p>
        </w:tc>
        <w:tc>
          <w:tcPr>
            <w:tcW w:w="0" w:type="auto"/>
            <w:vAlign w:val="center"/>
            <w:hideMark/>
          </w:tcPr>
          <w:p w14:paraId="74524B38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141CA62C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A1F9F28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1A298BB7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Exigir capacidade mínima de estoque do fornecedor</w:t>
            </w:r>
          </w:p>
        </w:tc>
        <w:tc>
          <w:tcPr>
            <w:tcW w:w="1633" w:type="dxa"/>
            <w:vAlign w:val="center"/>
            <w:hideMark/>
          </w:tcPr>
          <w:p w14:paraId="46E19836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Acionamento de fornecedor secundário</w:t>
            </w:r>
          </w:p>
        </w:tc>
      </w:tr>
      <w:tr w:rsidR="00BB08F2" w:rsidRPr="00BB08F2" w14:paraId="470D7BDE" w14:textId="77777777" w:rsidTr="00BB08F2">
        <w:trPr>
          <w:tblCellSpacing w:w="15" w:type="dxa"/>
        </w:trPr>
        <w:tc>
          <w:tcPr>
            <w:tcW w:w="278" w:type="dxa"/>
            <w:vAlign w:val="center"/>
            <w:hideMark/>
          </w:tcPr>
          <w:p w14:paraId="2C5F0214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3DF8C23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Fornecedor sem capacidade técnica</w:t>
            </w:r>
          </w:p>
        </w:tc>
        <w:tc>
          <w:tcPr>
            <w:tcW w:w="0" w:type="auto"/>
            <w:vAlign w:val="center"/>
            <w:hideMark/>
          </w:tcPr>
          <w:p w14:paraId="420FF082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Falha na habilitação</w:t>
            </w:r>
          </w:p>
        </w:tc>
        <w:tc>
          <w:tcPr>
            <w:tcW w:w="0" w:type="auto"/>
            <w:vAlign w:val="center"/>
            <w:hideMark/>
          </w:tcPr>
          <w:p w14:paraId="788A843D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75001044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1E7D0780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3D958AA6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Exigir atestados de capacidade técnica</w:t>
            </w:r>
          </w:p>
        </w:tc>
        <w:tc>
          <w:tcPr>
            <w:tcW w:w="1633" w:type="dxa"/>
            <w:vAlign w:val="center"/>
            <w:hideMark/>
          </w:tcPr>
          <w:p w14:paraId="2CF4D148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Rescisão contratual e nova contratação</w:t>
            </w:r>
          </w:p>
        </w:tc>
      </w:tr>
      <w:tr w:rsidR="00BB08F2" w:rsidRPr="00BB08F2" w14:paraId="2A000B47" w14:textId="77777777" w:rsidTr="00BB08F2">
        <w:trPr>
          <w:tblCellSpacing w:w="15" w:type="dxa"/>
        </w:trPr>
        <w:tc>
          <w:tcPr>
            <w:tcW w:w="278" w:type="dxa"/>
            <w:vAlign w:val="center"/>
            <w:hideMark/>
          </w:tcPr>
          <w:p w14:paraId="6B55BCC7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533802EC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Irregularidades fiscais ou trabalhistas do fornecedor</w:t>
            </w:r>
          </w:p>
        </w:tc>
        <w:tc>
          <w:tcPr>
            <w:tcW w:w="0" w:type="auto"/>
            <w:vAlign w:val="center"/>
            <w:hideMark/>
          </w:tcPr>
          <w:p w14:paraId="26D4EF7A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Falta de acompanhamento documental</w:t>
            </w:r>
          </w:p>
        </w:tc>
        <w:tc>
          <w:tcPr>
            <w:tcW w:w="0" w:type="auto"/>
            <w:vAlign w:val="center"/>
            <w:hideMark/>
          </w:tcPr>
          <w:p w14:paraId="51F3E9B2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15592B5B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18E105CC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0BA81E62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Conferência periódica de certidões</w:t>
            </w:r>
          </w:p>
        </w:tc>
        <w:tc>
          <w:tcPr>
            <w:tcW w:w="1633" w:type="dxa"/>
            <w:vAlign w:val="center"/>
            <w:hideMark/>
          </w:tcPr>
          <w:p w14:paraId="4BA23CB7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Suspensão de pagamentos até regularização</w:t>
            </w:r>
          </w:p>
        </w:tc>
      </w:tr>
      <w:tr w:rsidR="00BB08F2" w:rsidRPr="00BB08F2" w14:paraId="5FFC9957" w14:textId="77777777" w:rsidTr="00BB08F2">
        <w:trPr>
          <w:tblCellSpacing w:w="15" w:type="dxa"/>
        </w:trPr>
        <w:tc>
          <w:tcPr>
            <w:tcW w:w="278" w:type="dxa"/>
            <w:vAlign w:val="center"/>
            <w:hideMark/>
          </w:tcPr>
          <w:p w14:paraId="5EBD719E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24BC9789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Entrega em desacordo com o quantitativo solicitado</w:t>
            </w:r>
          </w:p>
        </w:tc>
        <w:tc>
          <w:tcPr>
            <w:tcW w:w="0" w:type="auto"/>
            <w:vAlign w:val="center"/>
            <w:hideMark/>
          </w:tcPr>
          <w:p w14:paraId="720E3424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Falhas no controle logístico</w:t>
            </w:r>
          </w:p>
        </w:tc>
        <w:tc>
          <w:tcPr>
            <w:tcW w:w="0" w:type="auto"/>
            <w:vAlign w:val="center"/>
            <w:hideMark/>
          </w:tcPr>
          <w:p w14:paraId="25F32CF6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7D1091C9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7FB5C39A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7B1DE740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Estabelecer conferência no recebimento</w:t>
            </w:r>
          </w:p>
        </w:tc>
        <w:tc>
          <w:tcPr>
            <w:tcW w:w="1633" w:type="dxa"/>
            <w:vAlign w:val="center"/>
            <w:hideMark/>
          </w:tcPr>
          <w:p w14:paraId="453D6947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Ajuste de entrega ou glosa de pagamento</w:t>
            </w:r>
          </w:p>
        </w:tc>
      </w:tr>
      <w:tr w:rsidR="00BB08F2" w:rsidRPr="00BB08F2" w14:paraId="321DA2FB" w14:textId="77777777" w:rsidTr="00BB08F2">
        <w:trPr>
          <w:tblCellSpacing w:w="15" w:type="dxa"/>
        </w:trPr>
        <w:tc>
          <w:tcPr>
            <w:tcW w:w="278" w:type="dxa"/>
            <w:vAlign w:val="center"/>
            <w:hideMark/>
          </w:tcPr>
          <w:p w14:paraId="7893828F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14:paraId="4E048DA0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Contaminação no transporte</w:t>
            </w:r>
          </w:p>
        </w:tc>
        <w:tc>
          <w:tcPr>
            <w:tcW w:w="0" w:type="auto"/>
            <w:vAlign w:val="center"/>
            <w:hideMark/>
          </w:tcPr>
          <w:p w14:paraId="1FBA1FB3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Transporte inadequado</w:t>
            </w:r>
          </w:p>
        </w:tc>
        <w:tc>
          <w:tcPr>
            <w:tcW w:w="0" w:type="auto"/>
            <w:vAlign w:val="center"/>
            <w:hideMark/>
          </w:tcPr>
          <w:p w14:paraId="425ED112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4A877E79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B0BC71E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1DE2979A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Exigir veículos apropriados e fiscalização</w:t>
            </w:r>
          </w:p>
        </w:tc>
        <w:tc>
          <w:tcPr>
            <w:tcW w:w="1633" w:type="dxa"/>
            <w:vAlign w:val="center"/>
            <w:hideMark/>
          </w:tcPr>
          <w:p w14:paraId="18DEB049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Descarte e reposição imediata</w:t>
            </w:r>
          </w:p>
        </w:tc>
      </w:tr>
      <w:tr w:rsidR="00BB08F2" w:rsidRPr="00BB08F2" w14:paraId="62FC96A3" w14:textId="77777777" w:rsidTr="00BB08F2">
        <w:trPr>
          <w:tblCellSpacing w:w="15" w:type="dxa"/>
        </w:trPr>
        <w:tc>
          <w:tcPr>
            <w:tcW w:w="278" w:type="dxa"/>
            <w:vAlign w:val="center"/>
            <w:hideMark/>
          </w:tcPr>
          <w:p w14:paraId="36025572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1294BD39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Falta de rastreabilidade do produto</w:t>
            </w:r>
          </w:p>
        </w:tc>
        <w:tc>
          <w:tcPr>
            <w:tcW w:w="0" w:type="auto"/>
            <w:vAlign w:val="center"/>
            <w:hideMark/>
          </w:tcPr>
          <w:p w14:paraId="6F2C0022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Ausência de controle de lote</w:t>
            </w:r>
          </w:p>
        </w:tc>
        <w:tc>
          <w:tcPr>
            <w:tcW w:w="0" w:type="auto"/>
            <w:vAlign w:val="center"/>
            <w:hideMark/>
          </w:tcPr>
          <w:p w14:paraId="060DFCAF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61A38171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58A9AAE9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Baixo</w:t>
            </w:r>
          </w:p>
        </w:tc>
        <w:tc>
          <w:tcPr>
            <w:tcW w:w="0" w:type="auto"/>
            <w:vAlign w:val="center"/>
            <w:hideMark/>
          </w:tcPr>
          <w:p w14:paraId="000E84D7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Exigir identificação de lote e validade</w:t>
            </w:r>
          </w:p>
        </w:tc>
        <w:tc>
          <w:tcPr>
            <w:tcW w:w="1633" w:type="dxa"/>
            <w:vAlign w:val="center"/>
            <w:hideMark/>
          </w:tcPr>
          <w:p w14:paraId="480AD790" w14:textId="77777777" w:rsidR="00BB08F2" w:rsidRPr="00BB08F2" w:rsidRDefault="00BB08F2" w:rsidP="00BB08F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B08F2">
              <w:rPr>
                <w:rFonts w:ascii="Arial" w:eastAsia="Arial" w:hAnsi="Arial" w:cs="Arial"/>
                <w:sz w:val="24"/>
                <w:szCs w:val="24"/>
              </w:rPr>
              <w:t>Retirada preventiva dos lotes suspeitos</w:t>
            </w:r>
          </w:p>
        </w:tc>
      </w:tr>
    </w:tbl>
    <w:p w14:paraId="2997DA5A" w14:textId="745C9F83" w:rsidR="00BB3816" w:rsidRDefault="00BB3816" w:rsidP="008146D0">
      <w:pPr>
        <w:rPr>
          <w:rFonts w:ascii="Arial" w:eastAsia="Arial" w:hAnsi="Arial" w:cs="Arial"/>
          <w:sz w:val="24"/>
          <w:szCs w:val="24"/>
        </w:rPr>
      </w:pPr>
    </w:p>
    <w:p w14:paraId="2C8C5C5B" w14:textId="5B457E1E" w:rsidR="008146D0" w:rsidRPr="00720B78" w:rsidRDefault="002855CD" w:rsidP="00720B78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Belo Jardim, </w:t>
      </w:r>
      <w:r w:rsidR="00BB08F2">
        <w:rPr>
          <w:rFonts w:ascii="Arial" w:eastAsia="Times New Roman" w:hAnsi="Arial" w:cs="Arial"/>
          <w:sz w:val="24"/>
          <w:szCs w:val="24"/>
          <w:lang w:eastAsia="pt-BR"/>
        </w:rPr>
        <w:t>30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</w:t>
      </w:r>
      <w:r w:rsidR="00720B78">
        <w:rPr>
          <w:rFonts w:ascii="Arial" w:eastAsia="Times New Roman" w:hAnsi="Arial" w:cs="Arial"/>
          <w:sz w:val="24"/>
          <w:szCs w:val="24"/>
          <w:lang w:eastAsia="pt-BR"/>
        </w:rPr>
        <w:t>abril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202</w:t>
      </w:r>
      <w:r>
        <w:rPr>
          <w:rFonts w:ascii="Arial" w:eastAsia="Times New Roman" w:hAnsi="Arial" w:cs="Arial"/>
          <w:sz w:val="24"/>
          <w:szCs w:val="24"/>
          <w:lang w:eastAsia="pt-BR"/>
        </w:rPr>
        <w:t>6</w:t>
      </w:r>
    </w:p>
    <w:p w14:paraId="7C55B341" w14:textId="77777777" w:rsidR="00BB08F2" w:rsidRDefault="00BB08F2" w:rsidP="00BB3816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407ADF4D" w14:textId="77777777" w:rsidR="00BB08F2" w:rsidRDefault="00BB08F2" w:rsidP="00BB3816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41A06C96" w14:textId="7ECAADCF" w:rsidR="00BB3816" w:rsidRDefault="00BB3816" w:rsidP="00BB3816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JOEDNA DE SOUZA SANTOS</w:t>
      </w:r>
    </w:p>
    <w:p w14:paraId="427291AE" w14:textId="3E2179B6" w:rsidR="00BB3816" w:rsidRDefault="00BB3816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 w:rsidRPr="009F0912">
        <w:rPr>
          <w:rFonts w:ascii="Arial" w:eastAsia="Arial" w:hAnsi="Arial" w:cs="Arial"/>
          <w:sz w:val="24"/>
          <w:szCs w:val="24"/>
        </w:rPr>
        <w:t xml:space="preserve">Secretária de </w:t>
      </w:r>
      <w:r>
        <w:rPr>
          <w:rFonts w:ascii="Arial" w:eastAsia="Arial" w:hAnsi="Arial" w:cs="Arial"/>
          <w:sz w:val="24"/>
          <w:szCs w:val="24"/>
        </w:rPr>
        <w:t>I</w:t>
      </w:r>
      <w:r w:rsidRPr="009F0912">
        <w:rPr>
          <w:rFonts w:ascii="Arial" w:eastAsia="Arial" w:hAnsi="Arial" w:cs="Arial"/>
          <w:sz w:val="24"/>
          <w:szCs w:val="24"/>
        </w:rPr>
        <w:t xml:space="preserve">nfraestrutura e </w:t>
      </w:r>
      <w:r>
        <w:rPr>
          <w:rFonts w:ascii="Arial" w:eastAsia="Arial" w:hAnsi="Arial" w:cs="Arial"/>
          <w:sz w:val="24"/>
          <w:szCs w:val="24"/>
        </w:rPr>
        <w:t>U</w:t>
      </w:r>
      <w:r w:rsidRPr="009F0912">
        <w:rPr>
          <w:rFonts w:ascii="Arial" w:eastAsia="Arial" w:hAnsi="Arial" w:cs="Arial"/>
          <w:sz w:val="24"/>
          <w:szCs w:val="24"/>
        </w:rPr>
        <w:t>rbanismo</w:t>
      </w:r>
    </w:p>
    <w:p w14:paraId="76A34F99" w14:textId="77777777" w:rsidR="00720B78" w:rsidRDefault="00720B78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4C2EB900" w14:textId="77777777" w:rsidR="00720B78" w:rsidRDefault="00720B78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2B125A22" w14:textId="5B404581" w:rsidR="00720B78" w:rsidRDefault="00720B78" w:rsidP="00720B78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THIAGO FERREIRA DINIZ</w:t>
      </w:r>
    </w:p>
    <w:p w14:paraId="7A189DE5" w14:textId="2C563A12" w:rsidR="00720B78" w:rsidRDefault="00720B78" w:rsidP="00720B78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Setor de Compras</w:t>
      </w:r>
    </w:p>
    <w:p w14:paraId="73DE1D2E" w14:textId="77777777" w:rsidR="00720B78" w:rsidRDefault="00720B78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6D5B733E" w14:textId="77777777" w:rsidR="00BF37B3" w:rsidRPr="00BF37B3" w:rsidRDefault="00BF37B3" w:rsidP="00BF37B3">
      <w:pPr>
        <w:rPr>
          <w:rFonts w:ascii="Times New Roman" w:eastAsia="Times New Roman" w:hAnsi="Times New Roman"/>
          <w:sz w:val="24"/>
          <w:szCs w:val="24"/>
          <w:lang w:eastAsia="pt-BR"/>
        </w:rPr>
      </w:pPr>
    </w:p>
    <w:sectPr w:rsidR="00BF37B3" w:rsidRPr="00BF37B3" w:rsidSect="002855CD">
      <w:headerReference w:type="default" r:id="rId8"/>
      <w:footerReference w:type="default" r:id="rId9"/>
      <w:pgSz w:w="11906" w:h="16838"/>
      <w:pgMar w:top="1417" w:right="1701" w:bottom="1417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5AB5A" w14:textId="77777777" w:rsidR="00F66130" w:rsidRDefault="00F66130">
      <w:pPr>
        <w:spacing w:after="0" w:line="240" w:lineRule="auto"/>
      </w:pPr>
      <w:r>
        <w:separator/>
      </w:r>
    </w:p>
  </w:endnote>
  <w:endnote w:type="continuationSeparator" w:id="0">
    <w:p w14:paraId="7915169D" w14:textId="77777777" w:rsidR="00F66130" w:rsidRDefault="00F66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0E45F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Av. Deputado José Mendonça Bezerra, nº 220 – Centro - Belo Jardim – PE.</w:t>
    </w:r>
  </w:p>
  <w:p w14:paraId="5815D85E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CEP: 55150-005 - CNPJ: 10.260.222/0001-05</w:t>
    </w:r>
  </w:p>
  <w:p w14:paraId="591A6F67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www.belojardim.pe.gov.br</w:t>
    </w:r>
  </w:p>
  <w:p w14:paraId="6630B9C7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  <w:p w14:paraId="7653EEB1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47058" w14:textId="77777777" w:rsidR="00F66130" w:rsidRDefault="00F66130">
      <w:pPr>
        <w:spacing w:after="0" w:line="240" w:lineRule="auto"/>
      </w:pPr>
      <w:r>
        <w:separator/>
      </w:r>
    </w:p>
  </w:footnote>
  <w:footnote w:type="continuationSeparator" w:id="0">
    <w:p w14:paraId="7458A640" w14:textId="77777777" w:rsidR="00F66130" w:rsidRDefault="00F66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D2AE2" w14:textId="47AD9B25" w:rsidR="006666B1" w:rsidRDefault="00F01131">
    <w:pPr>
      <w:pStyle w:val="Cabealho"/>
      <w:jc w:val="center"/>
      <w:rPr>
        <w:rFonts w:ascii="Arial" w:hAnsi="Arial" w:cs="Arial"/>
        <w:color w:val="333399"/>
        <w:sz w:val="17"/>
        <w:szCs w:val="17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A25B254" wp14:editId="193F4A67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2827587" cy="632379"/>
          <wp:effectExtent l="0" t="0" r="0" b="0"/>
          <wp:wrapNone/>
          <wp:docPr id="3" name="Imagem 3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7587" cy="632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A2E94E" w14:textId="77777777" w:rsidR="006666B1" w:rsidRDefault="006666B1">
    <w:pPr>
      <w:pStyle w:val="Cabealho"/>
      <w:jc w:val="center"/>
      <w:rPr>
        <w:rFonts w:ascii="Arial" w:hAnsi="Arial" w:cs="Arial"/>
        <w:color w:val="333399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718"/>
    <w:multiLevelType w:val="multilevel"/>
    <w:tmpl w:val="8042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4964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B1"/>
    <w:rsid w:val="00044D69"/>
    <w:rsid w:val="000B3519"/>
    <w:rsid w:val="000E4AA4"/>
    <w:rsid w:val="001050BC"/>
    <w:rsid w:val="001A1146"/>
    <w:rsid w:val="001D5501"/>
    <w:rsid w:val="001E0B29"/>
    <w:rsid w:val="00274FE5"/>
    <w:rsid w:val="002855CD"/>
    <w:rsid w:val="002A3D36"/>
    <w:rsid w:val="002B4835"/>
    <w:rsid w:val="0031495E"/>
    <w:rsid w:val="003E3693"/>
    <w:rsid w:val="003F34D6"/>
    <w:rsid w:val="00424F74"/>
    <w:rsid w:val="004404E8"/>
    <w:rsid w:val="00462FC4"/>
    <w:rsid w:val="004A6B5D"/>
    <w:rsid w:val="004D7010"/>
    <w:rsid w:val="004E5E2A"/>
    <w:rsid w:val="004F7430"/>
    <w:rsid w:val="0059782F"/>
    <w:rsid w:val="005B2554"/>
    <w:rsid w:val="00621D60"/>
    <w:rsid w:val="006666B1"/>
    <w:rsid w:val="006B3CCB"/>
    <w:rsid w:val="00707DC6"/>
    <w:rsid w:val="00720B78"/>
    <w:rsid w:val="007568A3"/>
    <w:rsid w:val="008146D0"/>
    <w:rsid w:val="00841E0A"/>
    <w:rsid w:val="008E1BAE"/>
    <w:rsid w:val="009267BE"/>
    <w:rsid w:val="0096082D"/>
    <w:rsid w:val="00983808"/>
    <w:rsid w:val="00A45187"/>
    <w:rsid w:val="00AF3F2E"/>
    <w:rsid w:val="00B259A8"/>
    <w:rsid w:val="00B403B2"/>
    <w:rsid w:val="00B50CDF"/>
    <w:rsid w:val="00B64306"/>
    <w:rsid w:val="00B85EA6"/>
    <w:rsid w:val="00BB08F2"/>
    <w:rsid w:val="00BB3816"/>
    <w:rsid w:val="00BF37B3"/>
    <w:rsid w:val="00C35FAA"/>
    <w:rsid w:val="00CC6E5A"/>
    <w:rsid w:val="00CE27F2"/>
    <w:rsid w:val="00D242D8"/>
    <w:rsid w:val="00D3645C"/>
    <w:rsid w:val="00D73BBD"/>
    <w:rsid w:val="00DB6826"/>
    <w:rsid w:val="00DD43DA"/>
    <w:rsid w:val="00DF2000"/>
    <w:rsid w:val="00E13C08"/>
    <w:rsid w:val="00E277E9"/>
    <w:rsid w:val="00E309E8"/>
    <w:rsid w:val="00E33130"/>
    <w:rsid w:val="00E475D8"/>
    <w:rsid w:val="00F01131"/>
    <w:rsid w:val="00F66130"/>
    <w:rsid w:val="00F814D6"/>
    <w:rsid w:val="00FC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657E3"/>
  <w15:docId w15:val="{84C33B6E-77F1-48A4-8A31-6CAEA9F6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D97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link w:val="Ttulo2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2B756E"/>
  </w:style>
  <w:style w:type="character" w:customStyle="1" w:styleId="RodapChar">
    <w:name w:val="Rodapé Char"/>
    <w:basedOn w:val="Fontepargpadro"/>
    <w:link w:val="Rodap"/>
    <w:uiPriority w:val="99"/>
    <w:qFormat/>
    <w:rsid w:val="002B756E"/>
  </w:style>
  <w:style w:type="character" w:customStyle="1" w:styleId="TextodebaloChar">
    <w:name w:val="Texto de balão Char"/>
    <w:link w:val="Textodebalo"/>
    <w:uiPriority w:val="99"/>
    <w:semiHidden/>
    <w:qFormat/>
    <w:rsid w:val="00125E92"/>
    <w:rPr>
      <w:rFonts w:ascii="Tahoma" w:hAnsi="Tahoma" w:cs="Tahoma"/>
      <w:sz w:val="16"/>
      <w:szCs w:val="16"/>
      <w:lang w:eastAsia="en-US"/>
    </w:rPr>
  </w:style>
  <w:style w:type="character" w:customStyle="1" w:styleId="LinkdaInternet">
    <w:name w:val="Link da Internet"/>
    <w:uiPriority w:val="99"/>
    <w:unhideWhenUsed/>
    <w:rsid w:val="00021507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A10924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25E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B109B"/>
    <w:pPr>
      <w:ind w:left="708"/>
    </w:pPr>
  </w:style>
  <w:style w:type="paragraph" w:styleId="NormalWeb">
    <w:name w:val="Normal (Web)"/>
    <w:basedOn w:val="Normal"/>
    <w:uiPriority w:val="99"/>
    <w:unhideWhenUsed/>
    <w:qFormat/>
    <w:rsid w:val="00454F94"/>
    <w:pPr>
      <w:spacing w:beforeAutospacing="1" w:afterAutospacing="1" w:line="240" w:lineRule="auto"/>
    </w:pPr>
    <w:rPr>
      <w:rFonts w:eastAsiaTheme="minorHAnsi" w:cs="Calibri"/>
      <w:lang w:eastAsia="pt-BR"/>
    </w:rPr>
  </w:style>
  <w:style w:type="paragraph" w:customStyle="1" w:styleId="western">
    <w:name w:val="western"/>
    <w:basedOn w:val="Normal"/>
    <w:qFormat/>
    <w:rsid w:val="00360E31"/>
    <w:pPr>
      <w:spacing w:beforeAutospacing="1" w:after="142" w:line="288" w:lineRule="auto"/>
    </w:pPr>
    <w:rPr>
      <w:rFonts w:eastAsia="Times New Roman" w:cs="Calibri"/>
      <w:color w:val="00000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855C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rsid w:val="002855CD"/>
    <w:rPr>
      <w:rFonts w:ascii="Times New Roman" w:eastAsia="Times New Roman" w:hAnsi="Times New Roman"/>
      <w:b/>
      <w:bCs/>
      <w:sz w:val="27"/>
      <w:szCs w:val="27"/>
    </w:rPr>
  </w:style>
  <w:style w:type="character" w:styleId="Forte">
    <w:name w:val="Strong"/>
    <w:basedOn w:val="Fontepargpadro"/>
    <w:uiPriority w:val="22"/>
    <w:qFormat/>
    <w:rsid w:val="002855CD"/>
    <w:rPr>
      <w:b/>
      <w:bCs/>
    </w:rPr>
  </w:style>
  <w:style w:type="character" w:styleId="nfase">
    <w:name w:val="Emphasis"/>
    <w:basedOn w:val="Fontepargpadro"/>
    <w:uiPriority w:val="20"/>
    <w:qFormat/>
    <w:rsid w:val="002855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59D64-95F8-4EC9-BF70-6E894944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390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Belo Jardim, em 10 de junho de 2008</vt:lpstr>
    </vt:vector>
  </TitlesOfParts>
  <Company>GG Galvão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Belo Jardim, em 10 de junho de 2008</dc:title>
  <dc:subject/>
  <dc:creator>Gilvam George Galvão Cavalcante</dc:creator>
  <dc:description/>
  <cp:lastModifiedBy>Belo Jardim</cp:lastModifiedBy>
  <cp:revision>12</cp:revision>
  <cp:lastPrinted>2024-08-05T11:51:00Z</cp:lastPrinted>
  <dcterms:created xsi:type="dcterms:W3CDTF">2025-01-06T12:04:00Z</dcterms:created>
  <dcterms:modified xsi:type="dcterms:W3CDTF">2026-05-04T12:17:00Z</dcterms:modified>
  <dc:language>pt-BR</dc:language>
</cp:coreProperties>
</file>